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DB" w:rsidRPr="0005382A" w:rsidRDefault="00DD49DB" w:rsidP="0005382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Bancóldex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>Los valores institucionales contenidos en este documento deben ser cumplidos y aceptados por parte d</w:t>
      </w:r>
      <w:bookmarkStart w:id="1" w:name="_GoBack"/>
      <w:bookmarkEnd w:id="1"/>
      <w:r w:rsidRPr="00D946C4">
        <w:rPr>
          <w:rFonts w:asciiTheme="minorHAnsi" w:hAnsiTheme="minorHAnsi" w:cstheme="minorHAnsi"/>
          <w:color w:val="000000"/>
          <w:lang w:eastAsia="es-CO"/>
        </w:rPr>
        <w:t xml:space="preserve">e los proveedores de Bancóldex S.A.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62CE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5CAE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43E4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Luisa Fernanda Pira Dussan</cp:lastModifiedBy>
  <cp:revision>2</cp:revision>
  <dcterms:created xsi:type="dcterms:W3CDTF">2019-03-04T19:30:00Z</dcterms:created>
  <dcterms:modified xsi:type="dcterms:W3CDTF">2019-03-04T19:30:00Z</dcterms:modified>
</cp:coreProperties>
</file>