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66DF" w14:textId="15A8575D" w:rsidR="004258CC" w:rsidRDefault="00374D8F" w:rsidP="00425C1B">
      <w:pPr>
        <w:spacing w:after="0"/>
        <w:jc w:val="center"/>
        <w:rPr>
          <w:rFonts w:ascii="Arial" w:hAnsi="Arial" w:cs="Arial"/>
          <w:bCs/>
          <w:sz w:val="36"/>
          <w:szCs w:val="32"/>
        </w:rPr>
      </w:pPr>
      <w:r>
        <w:rPr>
          <w:rFonts w:ascii="Arial" w:hAnsi="Arial" w:cs="Arial"/>
          <w:bCs/>
          <w:sz w:val="36"/>
          <w:szCs w:val="32"/>
        </w:rPr>
        <w:t xml:space="preserve">                </w:t>
      </w:r>
      <w:r w:rsidR="005313CE" w:rsidRPr="004E5046">
        <w:rPr>
          <w:rFonts w:ascii="Arial" w:hAnsi="Arial" w:cs="Arial"/>
          <w:bCs/>
          <w:sz w:val="36"/>
          <w:szCs w:val="32"/>
        </w:rPr>
        <w:t>Ficha técnica</w:t>
      </w:r>
    </w:p>
    <w:p w14:paraId="5F1DC565" w14:textId="77777777" w:rsidR="00424839" w:rsidRPr="004E5046" w:rsidRDefault="00424839" w:rsidP="00425C1B">
      <w:pPr>
        <w:spacing w:after="0"/>
        <w:jc w:val="center"/>
        <w:rPr>
          <w:rFonts w:ascii="Arial" w:hAnsi="Arial" w:cs="Arial"/>
          <w:sz w:val="36"/>
          <w:szCs w:val="24"/>
        </w:rPr>
      </w:pPr>
    </w:p>
    <w:tbl>
      <w:tblPr>
        <w:tblW w:w="1354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1"/>
        <w:gridCol w:w="9018"/>
      </w:tblGrid>
      <w:tr w:rsidR="005313CE" w:rsidRPr="001A294F" w14:paraId="468CB4CC" w14:textId="77777777" w:rsidTr="001A294F">
        <w:trPr>
          <w:trHeight w:val="397"/>
        </w:trPr>
        <w:tc>
          <w:tcPr>
            <w:tcW w:w="4531" w:type="dxa"/>
            <w:vAlign w:val="center"/>
          </w:tcPr>
          <w:p w14:paraId="4D8848BC" w14:textId="77777777" w:rsidR="005313CE" w:rsidRPr="000B0AE8" w:rsidRDefault="005313CE" w:rsidP="006D15BB">
            <w:pPr>
              <w:spacing w:before="240" w:after="0"/>
              <w:rPr>
                <w:rFonts w:ascii="Arial" w:hAnsi="Arial" w:cs="Arial"/>
                <w:b/>
                <w:bCs/>
                <w:sz w:val="22"/>
              </w:rPr>
            </w:pPr>
            <w:r w:rsidRPr="000B0AE8">
              <w:rPr>
                <w:rFonts w:ascii="Arial" w:hAnsi="Arial" w:cs="Arial"/>
                <w:b/>
                <w:bCs/>
                <w:sz w:val="22"/>
              </w:rPr>
              <w:t>PERSONA NATURAL O JURÍDICA QUE LA REALIZÓ:</w:t>
            </w:r>
          </w:p>
        </w:tc>
        <w:tc>
          <w:tcPr>
            <w:tcW w:w="9018" w:type="dxa"/>
            <w:vAlign w:val="center"/>
          </w:tcPr>
          <w:p w14:paraId="005B3855" w14:textId="77777777" w:rsidR="005313CE" w:rsidRPr="001A294F" w:rsidRDefault="005313CE" w:rsidP="001A294F">
            <w:pPr>
              <w:spacing w:before="240" w:after="0"/>
              <w:rPr>
                <w:rFonts w:ascii="Arial" w:hAnsi="Arial" w:cs="Arial"/>
                <w:sz w:val="20"/>
                <w:szCs w:val="20"/>
              </w:rPr>
            </w:pPr>
            <w:r w:rsidRPr="001A294F">
              <w:rPr>
                <w:rFonts w:ascii="Arial" w:hAnsi="Arial" w:cs="Arial"/>
                <w:sz w:val="20"/>
                <w:szCs w:val="20"/>
              </w:rPr>
              <w:t>Centro Nacional de Consultoría S.A.</w:t>
            </w:r>
          </w:p>
        </w:tc>
      </w:tr>
      <w:tr w:rsidR="005313CE" w:rsidRPr="001A294F" w14:paraId="3FCF5FA0" w14:textId="77777777" w:rsidTr="001A294F">
        <w:trPr>
          <w:trHeight w:val="397"/>
        </w:trPr>
        <w:tc>
          <w:tcPr>
            <w:tcW w:w="4531" w:type="dxa"/>
            <w:vAlign w:val="center"/>
          </w:tcPr>
          <w:p w14:paraId="1F00DE7D" w14:textId="77777777" w:rsidR="005313CE" w:rsidRPr="000B0AE8" w:rsidRDefault="005313CE" w:rsidP="006D15BB">
            <w:pPr>
              <w:spacing w:before="240" w:after="0"/>
              <w:rPr>
                <w:rFonts w:ascii="Arial" w:hAnsi="Arial" w:cs="Arial"/>
                <w:b/>
                <w:bCs/>
                <w:sz w:val="22"/>
              </w:rPr>
            </w:pPr>
            <w:r w:rsidRPr="000B0AE8">
              <w:rPr>
                <w:rFonts w:ascii="Arial" w:hAnsi="Arial" w:cs="Arial"/>
                <w:b/>
                <w:bCs/>
                <w:sz w:val="22"/>
              </w:rPr>
              <w:t>PERSONA NATURAL O JURÍDICA QUE LA ENCOMENDÓ:</w:t>
            </w:r>
          </w:p>
        </w:tc>
        <w:tc>
          <w:tcPr>
            <w:tcW w:w="9018" w:type="dxa"/>
            <w:vAlign w:val="center"/>
          </w:tcPr>
          <w:p w14:paraId="7F64243E" w14:textId="10E692B7" w:rsidR="005313CE" w:rsidRPr="001A294F" w:rsidRDefault="006D15BB" w:rsidP="001A294F">
            <w:pPr>
              <w:spacing w:before="240" w:after="0"/>
              <w:rPr>
                <w:rFonts w:ascii="Arial" w:hAnsi="Arial" w:cs="Arial"/>
                <w:sz w:val="20"/>
                <w:szCs w:val="20"/>
              </w:rPr>
            </w:pPr>
            <w:r w:rsidRPr="001A294F">
              <w:rPr>
                <w:rFonts w:ascii="Arial" w:hAnsi="Arial" w:cs="Arial"/>
                <w:sz w:val="20"/>
                <w:szCs w:val="20"/>
              </w:rPr>
              <w:t>Banco de Comercio Exterior de Colombia S.A – BANCOLDEX actuando como administrador del programa “Banca de las Oportunidades”</w:t>
            </w:r>
          </w:p>
        </w:tc>
      </w:tr>
      <w:tr w:rsidR="005313CE" w:rsidRPr="001A294F" w14:paraId="7863918E" w14:textId="77777777" w:rsidTr="001A294F">
        <w:trPr>
          <w:trHeight w:val="419"/>
        </w:trPr>
        <w:tc>
          <w:tcPr>
            <w:tcW w:w="4531" w:type="dxa"/>
            <w:vAlign w:val="center"/>
          </w:tcPr>
          <w:p w14:paraId="119455C5" w14:textId="77777777" w:rsidR="005313CE" w:rsidRPr="000B0AE8" w:rsidRDefault="005313CE" w:rsidP="006D15BB">
            <w:pPr>
              <w:spacing w:before="240" w:after="0"/>
              <w:rPr>
                <w:rFonts w:ascii="Arial" w:hAnsi="Arial" w:cs="Arial"/>
                <w:b/>
                <w:bCs/>
                <w:sz w:val="22"/>
              </w:rPr>
            </w:pPr>
            <w:r w:rsidRPr="000B0AE8">
              <w:rPr>
                <w:rFonts w:ascii="Arial" w:hAnsi="Arial" w:cs="Arial"/>
                <w:b/>
                <w:bCs/>
                <w:sz w:val="22"/>
              </w:rPr>
              <w:t>FUENTE DE FINANCIACIÓN:</w:t>
            </w:r>
          </w:p>
        </w:tc>
        <w:tc>
          <w:tcPr>
            <w:tcW w:w="9018" w:type="dxa"/>
            <w:vAlign w:val="center"/>
          </w:tcPr>
          <w:p w14:paraId="02AB157A" w14:textId="2B2B603C" w:rsidR="005313CE" w:rsidRPr="001A294F" w:rsidRDefault="006D15BB" w:rsidP="001A294F">
            <w:pPr>
              <w:spacing w:before="240" w:after="0"/>
              <w:rPr>
                <w:rFonts w:ascii="Arial" w:hAnsi="Arial" w:cs="Arial"/>
                <w:sz w:val="20"/>
                <w:szCs w:val="20"/>
              </w:rPr>
            </w:pPr>
            <w:r w:rsidRPr="001A294F">
              <w:rPr>
                <w:rFonts w:ascii="Arial" w:hAnsi="Arial" w:cs="Arial"/>
                <w:sz w:val="20"/>
                <w:szCs w:val="20"/>
              </w:rPr>
              <w:t>Banco de Comercio Exterior de Colombia S.A – BANCOLDEX actuando como administrador del programa “Banca de las Oportunidades”</w:t>
            </w:r>
          </w:p>
        </w:tc>
      </w:tr>
      <w:tr w:rsidR="005313CE" w:rsidRPr="001A294F" w14:paraId="63810556" w14:textId="77777777" w:rsidTr="001A294F">
        <w:trPr>
          <w:trHeight w:val="397"/>
        </w:trPr>
        <w:tc>
          <w:tcPr>
            <w:tcW w:w="4531" w:type="dxa"/>
            <w:vAlign w:val="center"/>
          </w:tcPr>
          <w:p w14:paraId="1ED3E32F" w14:textId="77777777" w:rsidR="005313CE" w:rsidRPr="000B0AE8" w:rsidRDefault="005313CE" w:rsidP="006D15BB">
            <w:pPr>
              <w:spacing w:before="240" w:after="0"/>
              <w:rPr>
                <w:rFonts w:ascii="Arial" w:hAnsi="Arial" w:cs="Arial"/>
                <w:b/>
                <w:bCs/>
                <w:sz w:val="22"/>
              </w:rPr>
            </w:pPr>
            <w:r w:rsidRPr="000B0AE8">
              <w:rPr>
                <w:rFonts w:ascii="Arial" w:hAnsi="Arial" w:cs="Arial"/>
                <w:b/>
                <w:bCs/>
                <w:sz w:val="22"/>
              </w:rPr>
              <w:t>UNIVERSO EN ESTUDIO:</w:t>
            </w:r>
          </w:p>
        </w:tc>
        <w:tc>
          <w:tcPr>
            <w:tcW w:w="9018" w:type="dxa"/>
            <w:vAlign w:val="center"/>
          </w:tcPr>
          <w:p w14:paraId="41BF5086" w14:textId="51D6B2AD" w:rsidR="005313CE" w:rsidRPr="001A294F" w:rsidRDefault="00B63889" w:rsidP="001A294F">
            <w:pPr>
              <w:spacing w:before="240" w:after="0"/>
              <w:rPr>
                <w:rFonts w:ascii="Arial" w:hAnsi="Arial" w:cs="Arial"/>
                <w:sz w:val="20"/>
                <w:szCs w:val="20"/>
              </w:rPr>
            </w:pPr>
            <w:r w:rsidRPr="001A294F">
              <w:rPr>
                <w:rFonts w:ascii="Arial" w:hAnsi="Arial" w:cs="Arial"/>
                <w:sz w:val="20"/>
                <w:szCs w:val="20"/>
              </w:rPr>
              <w:t>La población objetivo corresponde a las personas mayores de 18 años, hombres y mujeres residentes en todos los municipios del país</w:t>
            </w:r>
          </w:p>
        </w:tc>
      </w:tr>
      <w:tr w:rsidR="005313CE" w:rsidRPr="001A294F" w14:paraId="29582ADC" w14:textId="77777777" w:rsidTr="001A294F">
        <w:trPr>
          <w:trHeight w:val="427"/>
        </w:trPr>
        <w:tc>
          <w:tcPr>
            <w:tcW w:w="4531" w:type="dxa"/>
            <w:vAlign w:val="center"/>
          </w:tcPr>
          <w:p w14:paraId="67B69A38" w14:textId="77777777" w:rsidR="005313CE" w:rsidRPr="000B0AE8" w:rsidRDefault="005313CE" w:rsidP="006D15BB">
            <w:pPr>
              <w:spacing w:before="240" w:after="0"/>
              <w:rPr>
                <w:rFonts w:ascii="Arial" w:hAnsi="Arial" w:cs="Arial"/>
                <w:b/>
                <w:bCs/>
                <w:sz w:val="22"/>
              </w:rPr>
            </w:pPr>
            <w:r w:rsidRPr="000B0AE8">
              <w:rPr>
                <w:rFonts w:ascii="Arial" w:hAnsi="Arial" w:cs="Arial"/>
                <w:b/>
                <w:bCs/>
                <w:sz w:val="22"/>
              </w:rPr>
              <w:t>DISEÑO DE MUESTREO:</w:t>
            </w:r>
          </w:p>
        </w:tc>
        <w:tc>
          <w:tcPr>
            <w:tcW w:w="9018" w:type="dxa"/>
            <w:vAlign w:val="center"/>
          </w:tcPr>
          <w:p w14:paraId="03F19CCB" w14:textId="3D92445C" w:rsidR="00B63889" w:rsidRPr="001A294F" w:rsidRDefault="00B63889" w:rsidP="001A294F">
            <w:pPr>
              <w:spacing w:before="240" w:after="0"/>
              <w:rPr>
                <w:rFonts w:ascii="Arial" w:hAnsi="Arial" w:cs="Arial"/>
                <w:sz w:val="20"/>
                <w:szCs w:val="20"/>
              </w:rPr>
            </w:pPr>
            <w:r w:rsidRPr="001A294F">
              <w:rPr>
                <w:rFonts w:ascii="Arial" w:hAnsi="Arial" w:cs="Arial"/>
                <w:sz w:val="20"/>
                <w:szCs w:val="20"/>
              </w:rPr>
              <w:t>El diseño muestral es probabilístico, estratificado, multietápico. Los estratos corresponden al cruce de la región y el nivel de ruralidad. Con el fin de garantizar la comparabilidad entre las mediciones, la muestra de las UPM (municipios) en los cruces entre los estratos comunes con las mediciones anteriores se manejó como un panel y para los estratos sin medición se realizó una selección a partir de un muestreo aleatorio simple (MAS) usando el algoritmo coordinado negativo.</w:t>
            </w:r>
          </w:p>
          <w:p w14:paraId="3E499EA6" w14:textId="1BFA6AA5" w:rsidR="00C7593F" w:rsidRPr="001A294F" w:rsidRDefault="00B63889" w:rsidP="001A294F">
            <w:pPr>
              <w:spacing w:before="240" w:after="0"/>
              <w:rPr>
                <w:rFonts w:ascii="Arial" w:hAnsi="Arial" w:cs="Arial"/>
                <w:sz w:val="20"/>
                <w:szCs w:val="20"/>
              </w:rPr>
            </w:pPr>
            <w:r w:rsidRPr="001A294F">
              <w:rPr>
                <w:rFonts w:ascii="Arial" w:hAnsi="Arial" w:cs="Arial"/>
                <w:sz w:val="20"/>
                <w:szCs w:val="20"/>
              </w:rPr>
              <w:t>El mecanismo de ponderación parte de los factores básicos de expansión del diseño muestral, son ajustados por la no respuesta y finalmente son calibrados usando la información de las proyecciones poblacionales del DANE.</w:t>
            </w:r>
          </w:p>
        </w:tc>
      </w:tr>
      <w:tr w:rsidR="00E9561C" w:rsidRPr="001A294F" w14:paraId="5B35E517" w14:textId="77777777" w:rsidTr="001A294F">
        <w:trPr>
          <w:trHeight w:val="457"/>
        </w:trPr>
        <w:tc>
          <w:tcPr>
            <w:tcW w:w="4531" w:type="dxa"/>
            <w:vAlign w:val="center"/>
          </w:tcPr>
          <w:p w14:paraId="12C02710" w14:textId="084B45B1" w:rsidR="00E9561C" w:rsidRPr="000B0AE8" w:rsidRDefault="00E9561C" w:rsidP="006D15BB">
            <w:pPr>
              <w:spacing w:before="240" w:after="0"/>
              <w:rPr>
                <w:rFonts w:ascii="Arial" w:hAnsi="Arial" w:cs="Arial"/>
                <w:b/>
                <w:bCs/>
                <w:sz w:val="22"/>
              </w:rPr>
            </w:pPr>
            <w:r w:rsidRPr="000B0AE8">
              <w:rPr>
                <w:rFonts w:ascii="Arial" w:hAnsi="Arial" w:cs="Arial"/>
                <w:b/>
                <w:bCs/>
                <w:sz w:val="22"/>
              </w:rPr>
              <w:t>TAMAÑO DE MUESTRA:</w:t>
            </w:r>
          </w:p>
        </w:tc>
        <w:tc>
          <w:tcPr>
            <w:tcW w:w="9018" w:type="dxa"/>
            <w:vAlign w:val="center"/>
          </w:tcPr>
          <w:p w14:paraId="489AC761" w14:textId="0455F6D3" w:rsidR="00B63889" w:rsidRPr="001A294F" w:rsidRDefault="00B63889" w:rsidP="001A294F">
            <w:pPr>
              <w:spacing w:before="240" w:after="0" w:line="240" w:lineRule="auto"/>
              <w:rPr>
                <w:rFonts w:ascii="Arial" w:eastAsia="Times New Roman" w:hAnsi="Arial" w:cs="Arial"/>
                <w:color w:val="000000"/>
                <w:sz w:val="20"/>
                <w:szCs w:val="20"/>
                <w:lang w:eastAsia="es-CO"/>
              </w:rPr>
            </w:pPr>
            <w:r w:rsidRPr="001A294F">
              <w:rPr>
                <w:rFonts w:ascii="Arial" w:eastAsia="Times New Roman" w:hAnsi="Arial" w:cs="Arial"/>
                <w:color w:val="000000"/>
                <w:sz w:val="20"/>
                <w:szCs w:val="20"/>
                <w:lang w:eastAsia="es-CO"/>
              </w:rPr>
              <w:t>Se propuso una muestra mínima de 5.5</w:t>
            </w:r>
            <w:r w:rsidR="001A294F">
              <w:rPr>
                <w:rFonts w:ascii="Arial" w:eastAsia="Times New Roman" w:hAnsi="Arial" w:cs="Arial"/>
                <w:color w:val="000000"/>
                <w:sz w:val="20"/>
                <w:szCs w:val="20"/>
                <w:lang w:eastAsia="es-CO"/>
              </w:rPr>
              <w:t>13</w:t>
            </w:r>
            <w:r w:rsidRPr="001A294F">
              <w:rPr>
                <w:rFonts w:ascii="Arial" w:eastAsia="Times New Roman" w:hAnsi="Arial" w:cs="Arial"/>
                <w:color w:val="000000"/>
                <w:sz w:val="20"/>
                <w:szCs w:val="20"/>
                <w:lang w:eastAsia="es-CO"/>
              </w:rPr>
              <w:t xml:space="preserve"> encuestas, las cuales permiten obtener un margen de error del 1,8% con un nivel de confianza del 95%.</w:t>
            </w:r>
          </w:p>
          <w:p w14:paraId="46A42A3A" w14:textId="55F07958" w:rsidR="00B63889" w:rsidRPr="001A294F" w:rsidRDefault="001A294F" w:rsidP="001A294F">
            <w:pPr>
              <w:spacing w:before="240" w:after="0" w:line="240" w:lineRule="auto"/>
              <w:rPr>
                <w:rFonts w:ascii="Arial" w:eastAsia="Times New Roman" w:hAnsi="Arial" w:cs="Arial"/>
                <w:color w:val="000000"/>
                <w:sz w:val="20"/>
                <w:szCs w:val="20"/>
                <w:lang w:eastAsia="es-CO"/>
              </w:rPr>
            </w:pPr>
            <w:r w:rsidRPr="00424839">
              <w:rPr>
                <w:rFonts w:ascii="Arial" w:eastAsia="Times New Roman" w:hAnsi="Arial" w:cs="Arial"/>
                <w:b/>
                <w:bCs/>
                <w:color w:val="000000"/>
                <w:sz w:val="20"/>
                <w:szCs w:val="20"/>
                <w:lang w:eastAsia="es-CO"/>
              </w:rPr>
              <w:t>Regiones:</w:t>
            </w:r>
            <w:r w:rsidRPr="001A294F">
              <w:rPr>
                <w:rFonts w:ascii="Arial" w:eastAsia="Times New Roman" w:hAnsi="Arial" w:cs="Arial"/>
                <w:color w:val="000000"/>
                <w:sz w:val="20"/>
                <w:szCs w:val="20"/>
                <w:lang w:eastAsia="es-CO"/>
              </w:rPr>
              <w:t xml:space="preserve"> Centro Oriente (24%), Caribe (21%), Eje Cafetero (19%), Pacífico (16%), Centro Sur (12%) y Llano (9%).</w:t>
            </w:r>
          </w:p>
          <w:p w14:paraId="3A2FD53A" w14:textId="77777777" w:rsidR="0059543A" w:rsidRDefault="0059543A" w:rsidP="001A294F">
            <w:pPr>
              <w:spacing w:after="0" w:line="240" w:lineRule="auto"/>
              <w:rPr>
                <w:rFonts w:ascii="Arial" w:eastAsia="Times New Roman" w:hAnsi="Arial" w:cs="Arial"/>
                <w:b/>
                <w:bCs/>
                <w:color w:val="000000"/>
                <w:sz w:val="20"/>
                <w:szCs w:val="20"/>
                <w:lang w:eastAsia="es-CO"/>
              </w:rPr>
            </w:pPr>
          </w:p>
          <w:p w14:paraId="70A73F57" w14:textId="122971F0" w:rsidR="008F672B" w:rsidRPr="00424839" w:rsidRDefault="008F672B" w:rsidP="001A294F">
            <w:pPr>
              <w:spacing w:after="0" w:line="240" w:lineRule="auto"/>
              <w:rPr>
                <w:rFonts w:ascii="Arial" w:eastAsia="Times New Roman" w:hAnsi="Arial" w:cs="Arial"/>
                <w:color w:val="000000"/>
                <w:sz w:val="20"/>
                <w:szCs w:val="20"/>
                <w:lang w:eastAsia="es-CO"/>
              </w:rPr>
            </w:pPr>
            <w:r w:rsidRPr="008F672B">
              <w:rPr>
                <w:rFonts w:ascii="Arial" w:eastAsia="Times New Roman" w:hAnsi="Arial" w:cs="Arial"/>
                <w:color w:val="000000"/>
                <w:sz w:val="20"/>
                <w:szCs w:val="20"/>
                <w:lang w:eastAsia="es-CO"/>
              </w:rPr>
              <w:t>Bogotá, D.C.</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13,02%</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Medellín</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10,67%</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Cali</w:t>
            </w:r>
            <w:r w:rsidRPr="008F672B">
              <w:rPr>
                <w:rFonts w:ascii="Arial" w:eastAsia="Times New Roman" w:hAnsi="Arial" w:cs="Arial"/>
                <w:color w:val="000000"/>
                <w:sz w:val="20"/>
                <w:szCs w:val="20"/>
                <w:lang w:eastAsia="es-CO"/>
              </w:rPr>
              <w:tab/>
            </w:r>
            <w:r>
              <w:rPr>
                <w:rFonts w:ascii="Arial" w:eastAsia="Times New Roman" w:hAnsi="Arial" w:cs="Arial"/>
                <w:color w:val="000000"/>
                <w:sz w:val="20"/>
                <w:szCs w:val="20"/>
                <w:lang w:eastAsia="es-CO"/>
              </w:rPr>
              <w:t>(</w:t>
            </w:r>
            <w:r w:rsidRPr="008F672B">
              <w:rPr>
                <w:rFonts w:ascii="Arial" w:eastAsia="Times New Roman" w:hAnsi="Arial" w:cs="Arial"/>
                <w:color w:val="000000"/>
                <w:sz w:val="20"/>
                <w:szCs w:val="20"/>
                <w:lang w:eastAsia="es-CO"/>
              </w:rPr>
              <w:t>9,78%</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Barranquilla</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9,15%</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Ibagué</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4,32%</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Bucaramanga</w:t>
            </w:r>
            <w:r>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3,35%</w:t>
            </w:r>
            <w:r>
              <w:rPr>
                <w:rFonts w:ascii="Arial" w:eastAsia="Times New Roman" w:hAnsi="Arial" w:cs="Arial"/>
                <w:color w:val="000000"/>
                <w:sz w:val="20"/>
                <w:szCs w:val="20"/>
                <w:lang w:eastAsia="es-CO"/>
              </w:rPr>
              <w:t>)</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San Sebastián de Mariquita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3,09%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Villavicencio</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3,13%</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Timbío</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3,09%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El Playón</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2,39%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Fredonia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2,45%</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Nunchía</w:t>
            </w:r>
            <w:r w:rsidRPr="008F672B">
              <w:rPr>
                <w:rFonts w:ascii="Arial" w:eastAsia="Times New Roman" w:hAnsi="Arial" w:cs="Arial"/>
                <w:color w:val="000000"/>
                <w:sz w:val="20"/>
                <w:szCs w:val="20"/>
                <w:lang w:eastAsia="es-CO"/>
              </w:rPr>
              <w:tab/>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2,12%</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Santa Rosa del Sur</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2,21%</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Hispania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2,05%</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Villeta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1,91%</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Saravena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1,94%</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Puebloviejo</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1,76%</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Restrepo</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1,71%</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San Pelayo</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1,49%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Coello</w:t>
            </w:r>
            <w:r w:rsidRPr="008F672B">
              <w:rPr>
                <w:rFonts w:ascii="Arial" w:eastAsia="Times New Roman" w:hAnsi="Arial" w:cs="Arial"/>
                <w:color w:val="000000"/>
                <w:sz w:val="20"/>
                <w:szCs w:val="20"/>
                <w:lang w:eastAsia="es-CO"/>
              </w:rPr>
              <w:tab/>
            </w:r>
            <w:r w:rsidR="00424839">
              <w:rPr>
                <w:rFonts w:ascii="Arial" w:eastAsia="Times New Roman" w:hAnsi="Arial" w:cs="Arial"/>
                <w:color w:val="000000"/>
                <w:sz w:val="20"/>
                <w:szCs w:val="20"/>
                <w:lang w:eastAsia="es-CO"/>
              </w:rPr>
              <w:t>(</w:t>
            </w:r>
            <w:r w:rsidRPr="008F672B">
              <w:rPr>
                <w:rFonts w:ascii="Arial" w:eastAsia="Times New Roman" w:hAnsi="Arial" w:cs="Arial"/>
                <w:color w:val="000000"/>
                <w:sz w:val="20"/>
                <w:szCs w:val="20"/>
                <w:lang w:eastAsia="es-CO"/>
              </w:rPr>
              <w:t>1,44%</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La Argentina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1,35%</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Palmar de Varela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1,31%</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Cucutilla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1,06%</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El Águila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1,53%</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Villahermosa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1,17%</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San Fernando</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1,04%</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Mistrató</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0,99%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Puerres</w:t>
            </w:r>
            <w:r w:rsidRPr="008F672B">
              <w:rPr>
                <w:rFonts w:ascii="Arial" w:eastAsia="Times New Roman" w:hAnsi="Arial" w:cs="Arial"/>
                <w:color w:val="000000"/>
                <w:sz w:val="20"/>
                <w:szCs w:val="20"/>
                <w:lang w:eastAsia="es-CO"/>
              </w:rPr>
              <w:tab/>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0,77%</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Abejorral</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0,72%</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Guaduas</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0,79%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Lloró</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0,81%</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Anorí</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0,74%</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La Florida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0,59%</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San José de La Montaña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0,41%</w:t>
            </w:r>
            <w:r w:rsidR="00424839">
              <w:rPr>
                <w:rFonts w:ascii="Arial" w:eastAsia="Times New Roman" w:hAnsi="Arial" w:cs="Arial"/>
                <w:color w:val="000000"/>
                <w:sz w:val="20"/>
                <w:szCs w:val="20"/>
                <w:lang w:eastAsia="es-CO"/>
              </w:rPr>
              <w:t xml:space="preserve">), </w:t>
            </w:r>
            <w:r w:rsidR="00424839" w:rsidRPr="008F672B">
              <w:rPr>
                <w:rFonts w:ascii="Arial" w:eastAsia="Times New Roman" w:hAnsi="Arial" w:cs="Arial"/>
                <w:color w:val="000000"/>
                <w:sz w:val="20"/>
                <w:szCs w:val="20"/>
                <w:lang w:eastAsia="es-CO"/>
              </w:rPr>
              <w:t>Cáqueza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1,28%</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La Merced</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0,43%</w:t>
            </w:r>
            <w:r w:rsidR="00424839">
              <w:rPr>
                <w:rFonts w:ascii="Arial" w:eastAsia="Times New Roman" w:hAnsi="Arial" w:cs="Arial"/>
                <w:color w:val="000000"/>
                <w:sz w:val="20"/>
                <w:szCs w:val="20"/>
                <w:lang w:eastAsia="es-CO"/>
              </w:rPr>
              <w:t xml:space="preserve">)  y </w:t>
            </w:r>
            <w:r w:rsidRPr="008F672B">
              <w:rPr>
                <w:rFonts w:ascii="Arial" w:eastAsia="Times New Roman" w:hAnsi="Arial" w:cs="Arial"/>
                <w:color w:val="000000"/>
                <w:sz w:val="20"/>
                <w:szCs w:val="20"/>
                <w:lang w:eastAsia="es-CO"/>
              </w:rPr>
              <w:t>Cuítiva</w:t>
            </w:r>
            <w:r w:rsidR="00424839">
              <w:rPr>
                <w:rFonts w:ascii="Arial" w:eastAsia="Times New Roman" w:hAnsi="Arial" w:cs="Arial"/>
                <w:color w:val="000000"/>
                <w:sz w:val="20"/>
                <w:szCs w:val="20"/>
                <w:lang w:eastAsia="es-CO"/>
              </w:rPr>
              <w:t xml:space="preserve"> (</w:t>
            </w:r>
            <w:r w:rsidRPr="008F672B">
              <w:rPr>
                <w:rFonts w:ascii="Arial" w:eastAsia="Times New Roman" w:hAnsi="Arial" w:cs="Arial"/>
                <w:color w:val="000000"/>
                <w:sz w:val="20"/>
                <w:szCs w:val="20"/>
                <w:lang w:eastAsia="es-CO"/>
              </w:rPr>
              <w:t>0,45%</w:t>
            </w:r>
            <w:r w:rsidR="00424839">
              <w:rPr>
                <w:rFonts w:ascii="Arial" w:eastAsia="Times New Roman" w:hAnsi="Arial" w:cs="Arial"/>
                <w:color w:val="000000"/>
                <w:sz w:val="20"/>
                <w:szCs w:val="20"/>
                <w:lang w:eastAsia="es-CO"/>
              </w:rPr>
              <w:t>)</w:t>
            </w:r>
          </w:p>
        </w:tc>
      </w:tr>
      <w:tr w:rsidR="005313CE" w:rsidRPr="001A294F" w14:paraId="735A36B9" w14:textId="77777777" w:rsidTr="001A294F">
        <w:trPr>
          <w:trHeight w:val="351"/>
        </w:trPr>
        <w:tc>
          <w:tcPr>
            <w:tcW w:w="4531" w:type="dxa"/>
            <w:vAlign w:val="center"/>
          </w:tcPr>
          <w:p w14:paraId="5D57D371" w14:textId="77777777" w:rsidR="005313CE" w:rsidRPr="000B0AE8" w:rsidRDefault="005313CE" w:rsidP="006D15BB">
            <w:pPr>
              <w:spacing w:before="240" w:after="0"/>
              <w:rPr>
                <w:rFonts w:ascii="Arial" w:hAnsi="Arial" w:cs="Arial"/>
                <w:b/>
                <w:bCs/>
                <w:sz w:val="22"/>
              </w:rPr>
            </w:pPr>
            <w:r w:rsidRPr="000B0AE8">
              <w:rPr>
                <w:rFonts w:ascii="Arial" w:hAnsi="Arial" w:cs="Arial"/>
                <w:b/>
                <w:bCs/>
                <w:sz w:val="22"/>
              </w:rPr>
              <w:t>TEMAS A LOS QUE SE REFIERE:</w:t>
            </w:r>
          </w:p>
        </w:tc>
        <w:tc>
          <w:tcPr>
            <w:tcW w:w="9018" w:type="dxa"/>
            <w:vAlign w:val="center"/>
          </w:tcPr>
          <w:p w14:paraId="0D5790C9" w14:textId="2A694192" w:rsidR="00E15316" w:rsidRPr="001A294F" w:rsidRDefault="00374D8F" w:rsidP="001A294F">
            <w:pPr>
              <w:spacing w:before="240" w:after="0"/>
              <w:rPr>
                <w:rFonts w:ascii="Arial" w:hAnsi="Arial" w:cs="Arial"/>
                <w:sz w:val="20"/>
                <w:szCs w:val="20"/>
              </w:rPr>
            </w:pPr>
            <w:r>
              <w:rPr>
                <w:rFonts w:ascii="Arial" w:hAnsi="Arial" w:cs="Arial"/>
                <w:sz w:val="20"/>
                <w:szCs w:val="20"/>
              </w:rPr>
              <w:t>P</w:t>
            </w:r>
            <w:r w:rsidRPr="00374D8F">
              <w:rPr>
                <w:rFonts w:ascii="Arial" w:hAnsi="Arial" w:cs="Arial"/>
                <w:sz w:val="20"/>
                <w:szCs w:val="20"/>
              </w:rPr>
              <w:t>ercepciones de la población adulta colombiana, frente a las cuatro dimensiones de la inclusión financiera: acceso, uso, calidad y bienestar. Asimismo, la encuesta permite identificar las dinámicas de los pagos digitales y la predisposición por el uso del efectivo; la tenencia de seguros</w:t>
            </w:r>
            <w:r>
              <w:rPr>
                <w:rFonts w:ascii="Arial" w:hAnsi="Arial" w:cs="Arial"/>
                <w:sz w:val="20"/>
                <w:szCs w:val="20"/>
              </w:rPr>
              <w:t>,</w:t>
            </w:r>
            <w:r w:rsidRPr="00374D8F">
              <w:rPr>
                <w:rFonts w:ascii="Arial" w:hAnsi="Arial" w:cs="Arial"/>
                <w:sz w:val="20"/>
                <w:szCs w:val="20"/>
              </w:rPr>
              <w:t xml:space="preserve"> cómo están las personas en términos de educación financiera y el comportamiento de los individuos en cuanto a sus preferencias sobre los productos y servicios financieros.</w:t>
            </w:r>
          </w:p>
        </w:tc>
      </w:tr>
      <w:tr w:rsidR="00823C8B" w:rsidRPr="001A294F" w14:paraId="5F0CB6D3" w14:textId="77777777" w:rsidTr="001A294F">
        <w:trPr>
          <w:trHeight w:val="397"/>
        </w:trPr>
        <w:tc>
          <w:tcPr>
            <w:tcW w:w="4531" w:type="dxa"/>
            <w:vAlign w:val="center"/>
          </w:tcPr>
          <w:p w14:paraId="66F250E3" w14:textId="77777777" w:rsidR="00823C8B" w:rsidRPr="000B0AE8" w:rsidRDefault="00823C8B" w:rsidP="006D15BB">
            <w:pPr>
              <w:spacing w:before="240" w:after="0"/>
              <w:rPr>
                <w:rFonts w:ascii="Arial" w:hAnsi="Arial" w:cs="Arial"/>
                <w:b/>
                <w:bCs/>
                <w:sz w:val="22"/>
              </w:rPr>
            </w:pPr>
            <w:r w:rsidRPr="000B0AE8">
              <w:rPr>
                <w:rFonts w:ascii="Arial" w:hAnsi="Arial" w:cs="Arial"/>
                <w:b/>
                <w:bCs/>
                <w:sz w:val="22"/>
              </w:rPr>
              <w:t>PREGUNTAS QUE SE FORMULARON:</w:t>
            </w:r>
          </w:p>
        </w:tc>
        <w:tc>
          <w:tcPr>
            <w:tcW w:w="9018" w:type="dxa"/>
            <w:vAlign w:val="center"/>
          </w:tcPr>
          <w:p w14:paraId="79161411" w14:textId="4B36DE9B" w:rsidR="00823C8B" w:rsidRPr="001A294F" w:rsidRDefault="000B0AE8" w:rsidP="001A294F">
            <w:pPr>
              <w:spacing w:before="240" w:after="0"/>
              <w:rPr>
                <w:rFonts w:ascii="Arial" w:hAnsi="Arial" w:cs="Arial"/>
                <w:sz w:val="20"/>
                <w:szCs w:val="20"/>
              </w:rPr>
            </w:pPr>
            <w:r>
              <w:rPr>
                <w:rFonts w:ascii="Arial" w:hAnsi="Arial" w:cs="Arial"/>
                <w:sz w:val="20"/>
                <w:szCs w:val="20"/>
              </w:rPr>
              <w:t>72 preguntas</w:t>
            </w:r>
          </w:p>
        </w:tc>
      </w:tr>
      <w:tr w:rsidR="00823C8B" w:rsidRPr="001A294F" w14:paraId="78121421" w14:textId="77777777" w:rsidTr="001A294F">
        <w:trPr>
          <w:trHeight w:val="397"/>
        </w:trPr>
        <w:tc>
          <w:tcPr>
            <w:tcW w:w="4531" w:type="dxa"/>
            <w:vAlign w:val="center"/>
          </w:tcPr>
          <w:p w14:paraId="05CEB72A" w14:textId="77777777" w:rsidR="00823C8B" w:rsidRPr="000B0AE8" w:rsidRDefault="00823C8B" w:rsidP="006D15BB">
            <w:pPr>
              <w:spacing w:before="240" w:after="0"/>
              <w:rPr>
                <w:rFonts w:ascii="Arial" w:hAnsi="Arial" w:cs="Arial"/>
                <w:b/>
                <w:bCs/>
                <w:sz w:val="22"/>
              </w:rPr>
            </w:pPr>
            <w:r w:rsidRPr="000B0AE8">
              <w:rPr>
                <w:rFonts w:ascii="Arial" w:hAnsi="Arial" w:cs="Arial"/>
                <w:b/>
                <w:bCs/>
                <w:sz w:val="22"/>
              </w:rPr>
              <w:t>PERIODO TRABAJO DE CAMPO:</w:t>
            </w:r>
          </w:p>
        </w:tc>
        <w:tc>
          <w:tcPr>
            <w:tcW w:w="9018" w:type="dxa"/>
            <w:vAlign w:val="center"/>
          </w:tcPr>
          <w:p w14:paraId="6655790F" w14:textId="3E9A12A6" w:rsidR="000B0AE8" w:rsidRPr="001A294F" w:rsidRDefault="000B0AE8" w:rsidP="001A294F">
            <w:pPr>
              <w:spacing w:before="240" w:after="0"/>
              <w:rPr>
                <w:rFonts w:ascii="Arial" w:hAnsi="Arial" w:cs="Arial"/>
                <w:sz w:val="20"/>
                <w:szCs w:val="20"/>
              </w:rPr>
            </w:pPr>
            <w:r>
              <w:rPr>
                <w:rFonts w:ascii="Arial" w:hAnsi="Arial" w:cs="Arial"/>
                <w:sz w:val="20"/>
                <w:szCs w:val="20"/>
              </w:rPr>
              <w:t>Inicio: 05 de abril de 2022 – Fin: 27 de mayo de 2022</w:t>
            </w:r>
          </w:p>
        </w:tc>
      </w:tr>
      <w:tr w:rsidR="00823C8B" w:rsidRPr="001A294F" w14:paraId="09EFC2DD" w14:textId="77777777" w:rsidTr="001A294F">
        <w:trPr>
          <w:trHeight w:val="397"/>
        </w:trPr>
        <w:tc>
          <w:tcPr>
            <w:tcW w:w="4531" w:type="dxa"/>
            <w:vAlign w:val="center"/>
          </w:tcPr>
          <w:p w14:paraId="689B3477" w14:textId="77777777" w:rsidR="00823C8B" w:rsidRPr="000B0AE8" w:rsidRDefault="00823C8B" w:rsidP="006D15BB">
            <w:pPr>
              <w:spacing w:before="240"/>
              <w:rPr>
                <w:rFonts w:ascii="Arial" w:hAnsi="Arial" w:cs="Arial"/>
                <w:b/>
                <w:bCs/>
                <w:sz w:val="22"/>
              </w:rPr>
            </w:pPr>
            <w:r w:rsidRPr="000B0AE8">
              <w:rPr>
                <w:rFonts w:ascii="Arial" w:hAnsi="Arial" w:cs="Arial"/>
                <w:b/>
                <w:bCs/>
                <w:sz w:val="22"/>
              </w:rPr>
              <w:t>TECNICA DE RECOLECCIÓN:</w:t>
            </w:r>
          </w:p>
        </w:tc>
        <w:tc>
          <w:tcPr>
            <w:tcW w:w="9018" w:type="dxa"/>
            <w:vAlign w:val="center"/>
          </w:tcPr>
          <w:p w14:paraId="2538AA73" w14:textId="6031C42E" w:rsidR="00823C8B" w:rsidRPr="001A294F" w:rsidRDefault="000B0AE8" w:rsidP="001A294F">
            <w:pPr>
              <w:spacing w:before="240"/>
              <w:rPr>
                <w:rFonts w:ascii="Arial" w:hAnsi="Arial" w:cs="Arial"/>
                <w:sz w:val="20"/>
                <w:szCs w:val="20"/>
              </w:rPr>
            </w:pPr>
            <w:r>
              <w:rPr>
                <w:rFonts w:ascii="Arial" w:hAnsi="Arial" w:cs="Arial"/>
                <w:sz w:val="20"/>
                <w:szCs w:val="20"/>
              </w:rPr>
              <w:t>Encuesta presencial.</w:t>
            </w:r>
          </w:p>
        </w:tc>
      </w:tr>
    </w:tbl>
    <w:p w14:paraId="52D4FB56" w14:textId="77777777" w:rsidR="006D15BB" w:rsidRDefault="006D15BB" w:rsidP="003A683C">
      <w:pPr>
        <w:spacing w:after="0"/>
        <w:jc w:val="both"/>
        <w:rPr>
          <w:rFonts w:ascii="Arial" w:hAnsi="Arial" w:cs="Arial"/>
          <w:b/>
          <w:bCs/>
          <w:sz w:val="20"/>
        </w:rPr>
      </w:pPr>
    </w:p>
    <w:p w14:paraId="5507A4DF" w14:textId="77777777" w:rsidR="006D15BB" w:rsidRDefault="006D15BB" w:rsidP="003A683C">
      <w:pPr>
        <w:spacing w:after="0"/>
        <w:jc w:val="both"/>
        <w:rPr>
          <w:rFonts w:ascii="Arial" w:hAnsi="Arial" w:cs="Arial"/>
          <w:b/>
          <w:bCs/>
          <w:sz w:val="20"/>
        </w:rPr>
      </w:pPr>
    </w:p>
    <w:p w14:paraId="4E135DE5" w14:textId="4FBB06FB" w:rsidR="00A66AC8" w:rsidRPr="004E5046" w:rsidRDefault="005313CE" w:rsidP="003A683C">
      <w:pPr>
        <w:spacing w:after="0"/>
        <w:jc w:val="both"/>
        <w:rPr>
          <w:rFonts w:ascii="Arial" w:hAnsi="Arial" w:cs="Arial"/>
          <w:sz w:val="20"/>
        </w:rPr>
      </w:pPr>
      <w:r w:rsidRPr="004E5046">
        <w:rPr>
          <w:rFonts w:ascii="Arial" w:hAnsi="Arial" w:cs="Arial"/>
          <w:b/>
          <w:bCs/>
          <w:sz w:val="20"/>
        </w:rPr>
        <w:t>Nota</w:t>
      </w:r>
      <w:r w:rsidRPr="004E5046">
        <w:rPr>
          <w:rFonts w:ascii="Arial" w:hAnsi="Arial" w:cs="Arial"/>
          <w:sz w:val="20"/>
        </w:rPr>
        <w:t>: El Centro Nacional de Consultoría se encuentra inscrito en el Registro de Encuestadores del Consejo Nacional Electoral</w:t>
      </w:r>
      <w:r w:rsidR="0082200C" w:rsidRPr="004E5046">
        <w:rPr>
          <w:rFonts w:ascii="Arial" w:hAnsi="Arial" w:cs="Arial"/>
          <w:sz w:val="20"/>
        </w:rPr>
        <w:t>.</w:t>
      </w:r>
    </w:p>
    <w:p w14:paraId="6DDB7C28" w14:textId="025C38A5" w:rsidR="0082200C" w:rsidRPr="004E5046" w:rsidRDefault="003B0F9C" w:rsidP="003A683C">
      <w:pPr>
        <w:spacing w:after="0"/>
        <w:jc w:val="both"/>
        <w:rPr>
          <w:rFonts w:ascii="Arial" w:hAnsi="Arial" w:cs="Arial"/>
          <w:sz w:val="20"/>
        </w:rPr>
      </w:pPr>
      <w:r w:rsidRPr="004E5046">
        <w:rPr>
          <w:rFonts w:ascii="Arial" w:hAnsi="Arial" w:cs="Arial"/>
          <w:i/>
          <w:iCs/>
          <w:sz w:val="20"/>
          <w:lang w:val="es-ES"/>
        </w:rPr>
        <w:t>Este informe atiende los lineamientos de la norma ISO 20252:2012</w:t>
      </w:r>
    </w:p>
    <w:sectPr w:rsidR="0082200C" w:rsidRPr="004E5046" w:rsidSect="004E5046">
      <w:headerReference w:type="default" r:id="rId6"/>
      <w:footerReference w:type="even" r:id="rId7"/>
      <w:footerReference w:type="default" r:id="rId8"/>
      <w:pgSz w:w="15840" w:h="12240" w:orient="landscape"/>
      <w:pgMar w:top="1418" w:right="2892"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977E" w14:textId="77777777" w:rsidR="00AC3171" w:rsidRDefault="00AC3171" w:rsidP="00E04908">
      <w:pPr>
        <w:spacing w:after="0" w:line="240" w:lineRule="auto"/>
      </w:pPr>
      <w:r>
        <w:separator/>
      </w:r>
    </w:p>
  </w:endnote>
  <w:endnote w:type="continuationSeparator" w:id="0">
    <w:p w14:paraId="255916E9" w14:textId="77777777" w:rsidR="00AC3171" w:rsidRDefault="00AC3171" w:rsidP="00E0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95"/>
      <w:gridCol w:w="10335"/>
    </w:tblGrid>
    <w:tr w:rsidR="004258CC" w:rsidRPr="00101E4A" w14:paraId="65C45862" w14:textId="77777777">
      <w:tc>
        <w:tcPr>
          <w:tcW w:w="918" w:type="dxa"/>
        </w:tcPr>
        <w:p w14:paraId="4150C829" w14:textId="77777777" w:rsidR="004258CC" w:rsidRPr="00101E4A" w:rsidRDefault="00F677CC">
          <w:pPr>
            <w:pStyle w:val="Piedepgina"/>
            <w:jc w:val="right"/>
            <w:rPr>
              <w:b/>
              <w:color w:val="4F81BD"/>
              <w:sz w:val="32"/>
              <w:szCs w:val="32"/>
            </w:rPr>
          </w:pPr>
          <w:r w:rsidRPr="00101E4A">
            <w:fldChar w:fldCharType="begin"/>
          </w:r>
          <w:r w:rsidRPr="00101E4A">
            <w:instrText xml:space="preserve"> PAGE   \* MERGEFORMAT </w:instrText>
          </w:r>
          <w:r w:rsidRPr="00101E4A">
            <w:fldChar w:fldCharType="separate"/>
          </w:r>
          <w:r w:rsidR="004258CC" w:rsidRPr="00101E4A">
            <w:rPr>
              <w:b/>
              <w:noProof/>
              <w:color w:val="4F81BD"/>
              <w:sz w:val="32"/>
              <w:szCs w:val="32"/>
            </w:rPr>
            <w:t>1</w:t>
          </w:r>
          <w:r w:rsidRPr="00101E4A">
            <w:fldChar w:fldCharType="end"/>
          </w:r>
        </w:p>
      </w:tc>
      <w:tc>
        <w:tcPr>
          <w:tcW w:w="7938" w:type="dxa"/>
        </w:tcPr>
        <w:p w14:paraId="531B9F8A" w14:textId="77777777" w:rsidR="004258CC" w:rsidRPr="00101E4A" w:rsidRDefault="004258CC">
          <w:pPr>
            <w:pStyle w:val="Piedepgina"/>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9CF" w14:textId="77777777" w:rsidR="00C447F6" w:rsidRDefault="005313CE">
    <w:pPr>
      <w:pStyle w:val="Piedepgina"/>
    </w:pPr>
    <w:r>
      <w:rPr>
        <w:noProof/>
        <w:lang w:eastAsia="es-CO"/>
      </w:rPr>
      <w:drawing>
        <wp:anchor distT="0" distB="0" distL="114300" distR="114300" simplePos="0" relativeHeight="251658752" behindDoc="0" locked="0" layoutInCell="1" allowOverlap="1" wp14:anchorId="6FDF7017" wp14:editId="69DC27E0">
          <wp:simplePos x="0" y="0"/>
          <wp:positionH relativeFrom="column">
            <wp:posOffset>8163380</wp:posOffset>
          </wp:positionH>
          <wp:positionV relativeFrom="paragraph">
            <wp:posOffset>-228492</wp:posOffset>
          </wp:positionV>
          <wp:extent cx="530225" cy="591820"/>
          <wp:effectExtent l="0" t="0" r="3175" b="0"/>
          <wp:wrapNone/>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91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CEC5" w14:textId="77777777" w:rsidR="00AC3171" w:rsidRDefault="00AC3171" w:rsidP="00E04908">
      <w:pPr>
        <w:spacing w:after="0" w:line="240" w:lineRule="auto"/>
      </w:pPr>
      <w:r>
        <w:separator/>
      </w:r>
    </w:p>
  </w:footnote>
  <w:footnote w:type="continuationSeparator" w:id="0">
    <w:p w14:paraId="38FEBB44" w14:textId="77777777" w:rsidR="00AC3171" w:rsidRDefault="00AC3171" w:rsidP="00E0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BC1" w14:textId="1E1B35E3" w:rsidR="00E04908" w:rsidRDefault="00374D8F">
    <w:pPr>
      <w:pStyle w:val="Encabezado"/>
    </w:pPr>
    <w:r>
      <w:rPr>
        <w:noProof/>
      </w:rPr>
      <w:drawing>
        <wp:inline distT="0" distB="0" distL="0" distR="0" wp14:anchorId="4E18D60E" wp14:editId="382C0B66">
          <wp:extent cx="1645356" cy="606056"/>
          <wp:effectExtent l="0" t="0" r="0" b="3810"/>
          <wp:docPr id="1" name="Imagen 1" descr="Comunicado a la opinión pública de Puerto López y Restrepo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do a la opinión pública de Puerto López y Restrepo Me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349" cy="6215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US" w:vendorID="64" w:dllVersion="6" w:nlCheck="1" w:checkStyle="1"/>
  <w:activeWritingStyle w:appName="MSWord" w:lang="es-ES"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08"/>
    <w:rsid w:val="00022DE9"/>
    <w:rsid w:val="00052378"/>
    <w:rsid w:val="000549C7"/>
    <w:rsid w:val="00060F5B"/>
    <w:rsid w:val="000745F7"/>
    <w:rsid w:val="00086C88"/>
    <w:rsid w:val="000B09D6"/>
    <w:rsid w:val="000B0AE8"/>
    <w:rsid w:val="000B5CBA"/>
    <w:rsid w:val="000C6671"/>
    <w:rsid w:val="000D167E"/>
    <w:rsid w:val="000F32AF"/>
    <w:rsid w:val="00101E4A"/>
    <w:rsid w:val="00151471"/>
    <w:rsid w:val="00163824"/>
    <w:rsid w:val="0017480F"/>
    <w:rsid w:val="001A294F"/>
    <w:rsid w:val="001B7392"/>
    <w:rsid w:val="001C4C7C"/>
    <w:rsid w:val="001C515E"/>
    <w:rsid w:val="001D3EC5"/>
    <w:rsid w:val="001E18BD"/>
    <w:rsid w:val="001F303A"/>
    <w:rsid w:val="001F392C"/>
    <w:rsid w:val="002013B8"/>
    <w:rsid w:val="00202CAA"/>
    <w:rsid w:val="002234A2"/>
    <w:rsid w:val="002779FA"/>
    <w:rsid w:val="00287160"/>
    <w:rsid w:val="00305CC0"/>
    <w:rsid w:val="00324666"/>
    <w:rsid w:val="0036107D"/>
    <w:rsid w:val="00366FCE"/>
    <w:rsid w:val="003749DB"/>
    <w:rsid w:val="00374D8F"/>
    <w:rsid w:val="003A27E0"/>
    <w:rsid w:val="003A683C"/>
    <w:rsid w:val="003B0ED6"/>
    <w:rsid w:val="003B0F9C"/>
    <w:rsid w:val="0040572C"/>
    <w:rsid w:val="004077D1"/>
    <w:rsid w:val="00424839"/>
    <w:rsid w:val="004258CC"/>
    <w:rsid w:val="00425C1B"/>
    <w:rsid w:val="004617C7"/>
    <w:rsid w:val="00480D53"/>
    <w:rsid w:val="004932CB"/>
    <w:rsid w:val="004A1943"/>
    <w:rsid w:val="004B06AC"/>
    <w:rsid w:val="004E5046"/>
    <w:rsid w:val="004F7041"/>
    <w:rsid w:val="004F72AC"/>
    <w:rsid w:val="005313CE"/>
    <w:rsid w:val="0055070A"/>
    <w:rsid w:val="005668F1"/>
    <w:rsid w:val="00573B74"/>
    <w:rsid w:val="00580694"/>
    <w:rsid w:val="0059543A"/>
    <w:rsid w:val="005E7FC1"/>
    <w:rsid w:val="00610C0F"/>
    <w:rsid w:val="00670C35"/>
    <w:rsid w:val="00680F9A"/>
    <w:rsid w:val="00682B7F"/>
    <w:rsid w:val="006A7746"/>
    <w:rsid w:val="006C5B2A"/>
    <w:rsid w:val="006D15BB"/>
    <w:rsid w:val="006D1CC5"/>
    <w:rsid w:val="007354F8"/>
    <w:rsid w:val="00790BF9"/>
    <w:rsid w:val="007C3590"/>
    <w:rsid w:val="007C639C"/>
    <w:rsid w:val="007D52E2"/>
    <w:rsid w:val="007E2198"/>
    <w:rsid w:val="007E51ED"/>
    <w:rsid w:val="00810B1F"/>
    <w:rsid w:val="0082200C"/>
    <w:rsid w:val="00823C8B"/>
    <w:rsid w:val="0084512F"/>
    <w:rsid w:val="008870BF"/>
    <w:rsid w:val="008C3730"/>
    <w:rsid w:val="008D09C8"/>
    <w:rsid w:val="008F672B"/>
    <w:rsid w:val="00906A08"/>
    <w:rsid w:val="009256F3"/>
    <w:rsid w:val="00937414"/>
    <w:rsid w:val="00941C25"/>
    <w:rsid w:val="009A672C"/>
    <w:rsid w:val="009E3EE6"/>
    <w:rsid w:val="00A44CB4"/>
    <w:rsid w:val="00A66AC8"/>
    <w:rsid w:val="00A736B5"/>
    <w:rsid w:val="00AC3171"/>
    <w:rsid w:val="00AC6517"/>
    <w:rsid w:val="00B14456"/>
    <w:rsid w:val="00B21C27"/>
    <w:rsid w:val="00B63889"/>
    <w:rsid w:val="00B71303"/>
    <w:rsid w:val="00B73E3A"/>
    <w:rsid w:val="00B76008"/>
    <w:rsid w:val="00C447F6"/>
    <w:rsid w:val="00C7593F"/>
    <w:rsid w:val="00CC40FA"/>
    <w:rsid w:val="00CC42D5"/>
    <w:rsid w:val="00CD242A"/>
    <w:rsid w:val="00CF1DF2"/>
    <w:rsid w:val="00D326D2"/>
    <w:rsid w:val="00D3507B"/>
    <w:rsid w:val="00D91C9B"/>
    <w:rsid w:val="00DA48C7"/>
    <w:rsid w:val="00DD4055"/>
    <w:rsid w:val="00E04908"/>
    <w:rsid w:val="00E15316"/>
    <w:rsid w:val="00E429E7"/>
    <w:rsid w:val="00E516E6"/>
    <w:rsid w:val="00E71146"/>
    <w:rsid w:val="00E9561C"/>
    <w:rsid w:val="00EC0A51"/>
    <w:rsid w:val="00EF65DA"/>
    <w:rsid w:val="00F04768"/>
    <w:rsid w:val="00F202F6"/>
    <w:rsid w:val="00F677CC"/>
    <w:rsid w:val="00F73323"/>
    <w:rsid w:val="00F946D3"/>
    <w:rsid w:val="00FA3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552ED"/>
  <w15:chartTrackingRefBased/>
  <w15:docId w15:val="{0D969BD0-DF2F-4907-9995-5D38655E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2C"/>
    <w:pPr>
      <w:spacing w:after="200" w:line="276" w:lineRule="auto"/>
    </w:pPr>
    <w:rPr>
      <w:sz w:val="26"/>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908"/>
  </w:style>
  <w:style w:type="paragraph" w:styleId="Piedepgina">
    <w:name w:val="footer"/>
    <w:basedOn w:val="Normal"/>
    <w:link w:val="PiedepginaCar"/>
    <w:uiPriority w:val="99"/>
    <w:unhideWhenUsed/>
    <w:rsid w:val="00E04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908"/>
  </w:style>
  <w:style w:type="paragraph" w:styleId="Textodeglobo">
    <w:name w:val="Balloon Text"/>
    <w:basedOn w:val="Normal"/>
    <w:link w:val="TextodegloboCar"/>
    <w:uiPriority w:val="99"/>
    <w:semiHidden/>
    <w:unhideWhenUsed/>
    <w:rsid w:val="00E0490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4908"/>
    <w:rPr>
      <w:rFonts w:ascii="Tahoma" w:hAnsi="Tahoma" w:cs="Tahoma"/>
      <w:sz w:val="16"/>
      <w:szCs w:val="16"/>
    </w:rPr>
  </w:style>
  <w:style w:type="paragraph" w:styleId="Prrafodelista">
    <w:name w:val="List Paragraph"/>
    <w:basedOn w:val="Normal"/>
    <w:uiPriority w:val="34"/>
    <w:qFormat/>
    <w:rsid w:val="0081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4075">
      <w:bodyDiv w:val="1"/>
      <w:marLeft w:val="0"/>
      <w:marRight w:val="0"/>
      <w:marTop w:val="0"/>
      <w:marBottom w:val="0"/>
      <w:divBdr>
        <w:top w:val="none" w:sz="0" w:space="0" w:color="auto"/>
        <w:left w:val="none" w:sz="0" w:space="0" w:color="auto"/>
        <w:bottom w:val="none" w:sz="0" w:space="0" w:color="auto"/>
        <w:right w:val="none" w:sz="0" w:space="0" w:color="auto"/>
      </w:divBdr>
    </w:div>
    <w:div w:id="360589303">
      <w:bodyDiv w:val="1"/>
      <w:marLeft w:val="0"/>
      <w:marRight w:val="0"/>
      <w:marTop w:val="0"/>
      <w:marBottom w:val="0"/>
      <w:divBdr>
        <w:top w:val="none" w:sz="0" w:space="0" w:color="auto"/>
        <w:left w:val="none" w:sz="0" w:space="0" w:color="auto"/>
        <w:bottom w:val="none" w:sz="0" w:space="0" w:color="auto"/>
        <w:right w:val="none" w:sz="0" w:space="0" w:color="auto"/>
      </w:divBdr>
    </w:div>
    <w:div w:id="497619453">
      <w:bodyDiv w:val="1"/>
      <w:marLeft w:val="0"/>
      <w:marRight w:val="0"/>
      <w:marTop w:val="0"/>
      <w:marBottom w:val="0"/>
      <w:divBdr>
        <w:top w:val="none" w:sz="0" w:space="0" w:color="auto"/>
        <w:left w:val="none" w:sz="0" w:space="0" w:color="auto"/>
        <w:bottom w:val="none" w:sz="0" w:space="0" w:color="auto"/>
        <w:right w:val="none" w:sz="0" w:space="0" w:color="auto"/>
      </w:divBdr>
    </w:div>
    <w:div w:id="506216890">
      <w:bodyDiv w:val="1"/>
      <w:marLeft w:val="0"/>
      <w:marRight w:val="0"/>
      <w:marTop w:val="0"/>
      <w:marBottom w:val="0"/>
      <w:divBdr>
        <w:top w:val="none" w:sz="0" w:space="0" w:color="auto"/>
        <w:left w:val="none" w:sz="0" w:space="0" w:color="auto"/>
        <w:bottom w:val="none" w:sz="0" w:space="0" w:color="auto"/>
        <w:right w:val="none" w:sz="0" w:space="0" w:color="auto"/>
      </w:divBdr>
    </w:div>
    <w:div w:id="674646706">
      <w:bodyDiv w:val="1"/>
      <w:marLeft w:val="0"/>
      <w:marRight w:val="0"/>
      <w:marTop w:val="0"/>
      <w:marBottom w:val="0"/>
      <w:divBdr>
        <w:top w:val="none" w:sz="0" w:space="0" w:color="auto"/>
        <w:left w:val="none" w:sz="0" w:space="0" w:color="auto"/>
        <w:bottom w:val="none" w:sz="0" w:space="0" w:color="auto"/>
        <w:right w:val="none" w:sz="0" w:space="0" w:color="auto"/>
      </w:divBdr>
    </w:div>
    <w:div w:id="884752753">
      <w:bodyDiv w:val="1"/>
      <w:marLeft w:val="0"/>
      <w:marRight w:val="0"/>
      <w:marTop w:val="0"/>
      <w:marBottom w:val="0"/>
      <w:divBdr>
        <w:top w:val="none" w:sz="0" w:space="0" w:color="auto"/>
        <w:left w:val="none" w:sz="0" w:space="0" w:color="auto"/>
        <w:bottom w:val="none" w:sz="0" w:space="0" w:color="auto"/>
        <w:right w:val="none" w:sz="0" w:space="0" w:color="auto"/>
      </w:divBdr>
    </w:div>
    <w:div w:id="1042680664">
      <w:bodyDiv w:val="1"/>
      <w:marLeft w:val="0"/>
      <w:marRight w:val="0"/>
      <w:marTop w:val="0"/>
      <w:marBottom w:val="0"/>
      <w:divBdr>
        <w:top w:val="none" w:sz="0" w:space="0" w:color="auto"/>
        <w:left w:val="none" w:sz="0" w:space="0" w:color="auto"/>
        <w:bottom w:val="none" w:sz="0" w:space="0" w:color="auto"/>
        <w:right w:val="none" w:sz="0" w:space="0" w:color="auto"/>
      </w:divBdr>
    </w:div>
    <w:div w:id="1312368319">
      <w:bodyDiv w:val="1"/>
      <w:marLeft w:val="0"/>
      <w:marRight w:val="0"/>
      <w:marTop w:val="0"/>
      <w:marBottom w:val="0"/>
      <w:divBdr>
        <w:top w:val="none" w:sz="0" w:space="0" w:color="auto"/>
        <w:left w:val="none" w:sz="0" w:space="0" w:color="auto"/>
        <w:bottom w:val="none" w:sz="0" w:space="0" w:color="auto"/>
        <w:right w:val="none" w:sz="0" w:space="0" w:color="auto"/>
      </w:divBdr>
    </w:div>
    <w:div w:id="1475953595">
      <w:bodyDiv w:val="1"/>
      <w:marLeft w:val="0"/>
      <w:marRight w:val="0"/>
      <w:marTop w:val="0"/>
      <w:marBottom w:val="0"/>
      <w:divBdr>
        <w:top w:val="none" w:sz="0" w:space="0" w:color="auto"/>
        <w:left w:val="none" w:sz="0" w:space="0" w:color="auto"/>
        <w:bottom w:val="none" w:sz="0" w:space="0" w:color="auto"/>
        <w:right w:val="none" w:sz="0" w:space="0" w:color="auto"/>
      </w:divBdr>
    </w:div>
    <w:div w:id="1589655808">
      <w:bodyDiv w:val="1"/>
      <w:marLeft w:val="0"/>
      <w:marRight w:val="0"/>
      <w:marTop w:val="0"/>
      <w:marBottom w:val="0"/>
      <w:divBdr>
        <w:top w:val="none" w:sz="0" w:space="0" w:color="auto"/>
        <w:left w:val="none" w:sz="0" w:space="0" w:color="auto"/>
        <w:bottom w:val="none" w:sz="0" w:space="0" w:color="auto"/>
        <w:right w:val="none" w:sz="0" w:space="0" w:color="auto"/>
      </w:divBdr>
    </w:div>
    <w:div w:id="1914194787">
      <w:bodyDiv w:val="1"/>
      <w:marLeft w:val="0"/>
      <w:marRight w:val="0"/>
      <w:marTop w:val="0"/>
      <w:marBottom w:val="0"/>
      <w:divBdr>
        <w:top w:val="none" w:sz="0" w:space="0" w:color="auto"/>
        <w:left w:val="none" w:sz="0" w:space="0" w:color="auto"/>
        <w:bottom w:val="none" w:sz="0" w:space="0" w:color="auto"/>
        <w:right w:val="none" w:sz="0" w:space="0" w:color="auto"/>
      </w:divBdr>
    </w:div>
    <w:div w:id="1926576333">
      <w:bodyDiv w:val="1"/>
      <w:marLeft w:val="0"/>
      <w:marRight w:val="0"/>
      <w:marTop w:val="0"/>
      <w:marBottom w:val="0"/>
      <w:divBdr>
        <w:top w:val="none" w:sz="0" w:space="0" w:color="auto"/>
        <w:left w:val="none" w:sz="0" w:space="0" w:color="auto"/>
        <w:bottom w:val="none" w:sz="0" w:space="0" w:color="auto"/>
        <w:right w:val="none" w:sz="0" w:space="0" w:color="auto"/>
      </w:divBdr>
    </w:div>
    <w:div w:id="20523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dmolina</dc:creator>
  <cp:keywords/>
  <cp:lastModifiedBy>Joan Sebastián Potosi Hoyos</cp:lastModifiedBy>
  <cp:revision>7</cp:revision>
  <cp:lastPrinted>2017-02-01T16:55:00Z</cp:lastPrinted>
  <dcterms:created xsi:type="dcterms:W3CDTF">2022-04-21T14:52:00Z</dcterms:created>
  <dcterms:modified xsi:type="dcterms:W3CDTF">2022-06-07T00:52:00Z</dcterms:modified>
</cp:coreProperties>
</file>